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DB" w:rsidRPr="009971DB" w:rsidRDefault="009971DB" w:rsidP="00A5696B">
      <w:pPr>
        <w:jc w:val="center"/>
        <w:rPr>
          <w:rStyle w:val="a3"/>
          <w:rFonts w:ascii="Times New Roman" w:hAnsi="Times New Roman" w:cs="Times New Roman"/>
          <w:i/>
          <w:iCs/>
          <w:sz w:val="24"/>
          <w:szCs w:val="24"/>
          <w:lang w:val="ru-RU"/>
        </w:rPr>
      </w:pPr>
    </w:p>
    <w:p w:rsidR="00A5696B" w:rsidRPr="00A5696B" w:rsidRDefault="00A5696B" w:rsidP="00A5696B">
      <w:pPr>
        <w:jc w:val="center"/>
        <w:rPr>
          <w:rStyle w:val="a3"/>
          <w:rFonts w:ascii="Times New Roman" w:hAnsi="Times New Roman" w:cs="Times New Roman"/>
          <w:i/>
          <w:iCs/>
          <w:sz w:val="24"/>
          <w:szCs w:val="24"/>
        </w:rPr>
      </w:pPr>
      <w:r w:rsidRPr="00A5696B">
        <w:rPr>
          <w:rStyle w:val="a3"/>
          <w:rFonts w:ascii="Times New Roman" w:hAnsi="Times New Roman" w:cs="Times New Roman"/>
          <w:i/>
          <w:iCs/>
          <w:sz w:val="24"/>
          <w:szCs w:val="24"/>
        </w:rPr>
        <w:t xml:space="preserve">Комунальне некомерційне підприємство </w:t>
      </w:r>
      <w:r w:rsidRPr="00A5696B">
        <w:rPr>
          <w:rStyle w:val="a3"/>
          <w:rFonts w:ascii="Times New Roman" w:hAnsi="Times New Roman" w:cs="Times New Roman"/>
          <w:i/>
          <w:iCs/>
          <w:sz w:val="24"/>
          <w:szCs w:val="24"/>
        </w:rPr>
        <w:br/>
        <w:t xml:space="preserve"> «МІСЬКА ПОЛІКЛІНІКА №20» </w:t>
      </w:r>
      <w:r w:rsidRPr="00A5696B">
        <w:rPr>
          <w:rStyle w:val="a3"/>
          <w:rFonts w:ascii="Times New Roman" w:hAnsi="Times New Roman" w:cs="Times New Roman"/>
          <w:i/>
          <w:iCs/>
          <w:sz w:val="24"/>
          <w:szCs w:val="24"/>
        </w:rPr>
        <w:br/>
        <w:t xml:space="preserve"> Харківської міської ради</w:t>
      </w:r>
    </w:p>
    <w:p w:rsidR="00A5696B" w:rsidRPr="00A5696B" w:rsidRDefault="00A5696B" w:rsidP="00A5696B">
      <w:pPr>
        <w:jc w:val="center"/>
        <w:rPr>
          <w:rStyle w:val="a3"/>
          <w:rFonts w:ascii="Times New Roman" w:hAnsi="Times New Roman" w:cs="Times New Roman"/>
          <w:b w:val="0"/>
          <w:i/>
          <w:iCs/>
          <w:sz w:val="24"/>
          <w:szCs w:val="24"/>
        </w:rPr>
      </w:pPr>
      <w:r w:rsidRPr="00A5696B">
        <w:rPr>
          <w:rStyle w:val="a3"/>
          <w:rFonts w:ascii="Times New Roman" w:hAnsi="Times New Roman" w:cs="Times New Roman"/>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A5696B">
        <w:rPr>
          <w:rFonts w:ascii="Times New Roman" w:hAnsi="Times New Roman" w:cs="Times New Roman"/>
          <w:b/>
          <w:i/>
          <w:sz w:val="24"/>
          <w:szCs w:val="24"/>
        </w:rPr>
        <w:t xml:space="preserve">за результатами процедури закупівлі - відкриті торги,  </w:t>
      </w:r>
      <w:r w:rsidR="00F12DBE">
        <w:rPr>
          <w:rFonts w:ascii="Times New Roman" w:hAnsi="Times New Roman" w:cs="Times New Roman"/>
          <w:b/>
          <w:i/>
          <w:sz w:val="24"/>
          <w:szCs w:val="24"/>
        </w:rPr>
        <w:t xml:space="preserve"> </w:t>
      </w:r>
      <w:r w:rsidR="00F12DBE">
        <w:rPr>
          <w:rFonts w:ascii="Times New Roman" w:hAnsi="Times New Roman" w:cs="Times New Roman"/>
          <w:b/>
          <w:i/>
          <w:sz w:val="24"/>
          <w:szCs w:val="24"/>
        </w:rPr>
        <w:br/>
      </w:r>
      <w:r w:rsidRPr="00A5696B">
        <w:rPr>
          <w:rFonts w:ascii="Times New Roman" w:hAnsi="Times New Roman" w:cs="Times New Roman"/>
          <w:b/>
          <w:i/>
          <w:sz w:val="24"/>
          <w:szCs w:val="24"/>
        </w:rPr>
        <w:t>початок проведення процедури 23 грудня 2020 року</w:t>
      </w: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1. Предмет закупівлі</w:t>
      </w:r>
      <w:r w:rsidRPr="00A5696B">
        <w:rPr>
          <w:rFonts w:ascii="Times New Roman" w:hAnsi="Times New Roman" w:cs="Times New Roman"/>
          <w:sz w:val="24"/>
          <w:szCs w:val="24"/>
        </w:rPr>
        <w:t xml:space="preserve"> -  Спеціальні продукти харчування, збагачені поживними речовинами (для дорослих хворих на фенілкетонурію) код  ДК 021:2015 - 15880000-0 — Спеціальні продукти харчування, збагачені поживними речовинами.</w:t>
      </w:r>
    </w:p>
    <w:p w:rsidR="00A5696B" w:rsidRPr="00A5696B" w:rsidRDefault="00A5696B" w:rsidP="00A5696B">
      <w:pPr>
        <w:jc w:val="both"/>
        <w:rPr>
          <w:rFonts w:ascii="Times New Roman" w:hAnsi="Times New Roman" w:cs="Times New Roman"/>
          <w:b/>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 xml:space="preserve">2. Технічні та якісні характеристики предмета закупівлі: </w:t>
      </w:r>
      <w:r w:rsidRPr="00A5696B">
        <w:rPr>
          <w:rFonts w:ascii="Times New Roman" w:hAnsi="Times New Roman" w:cs="Times New Roman"/>
          <w:sz w:val="24"/>
          <w:szCs w:val="24"/>
        </w:rPr>
        <w:t xml:space="preserve"> </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w:t>
      </w:r>
    </w:p>
    <w:tbl>
      <w:tblPr>
        <w:tblW w:w="10211" w:type="dxa"/>
        <w:tblInd w:w="98" w:type="dxa"/>
        <w:tblLook w:val="0000" w:firstRow="0" w:lastRow="0" w:firstColumn="0" w:lastColumn="0" w:noHBand="0" w:noVBand="0"/>
      </w:tblPr>
      <w:tblGrid>
        <w:gridCol w:w="930"/>
        <w:gridCol w:w="5424"/>
        <w:gridCol w:w="1267"/>
        <w:gridCol w:w="2590"/>
      </w:tblGrid>
      <w:tr w:rsidR="00A5696B" w:rsidRPr="00A5696B" w:rsidTr="00DA1CBF">
        <w:trPr>
          <w:trHeight w:val="362"/>
        </w:trPr>
        <w:tc>
          <w:tcPr>
            <w:tcW w:w="930" w:type="dxa"/>
            <w:tcBorders>
              <w:top w:val="single" w:sz="4" w:space="0" w:color="auto"/>
              <w:left w:val="single" w:sz="4" w:space="0" w:color="auto"/>
              <w:bottom w:val="single" w:sz="4" w:space="0" w:color="auto"/>
              <w:right w:val="single" w:sz="4" w:space="0" w:color="auto"/>
            </w:tcBorders>
            <w:noWrap/>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 п/п</w:t>
            </w:r>
          </w:p>
        </w:tc>
        <w:tc>
          <w:tcPr>
            <w:tcW w:w="5424" w:type="dxa"/>
            <w:tcBorders>
              <w:top w:val="single" w:sz="4" w:space="0" w:color="auto"/>
              <w:left w:val="nil"/>
              <w:bottom w:val="single" w:sz="4" w:space="0" w:color="auto"/>
              <w:right w:val="single" w:sz="4" w:space="0" w:color="auto"/>
            </w:tcBorders>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Найменування товару</w:t>
            </w:r>
          </w:p>
        </w:tc>
        <w:tc>
          <w:tcPr>
            <w:tcW w:w="1267" w:type="dxa"/>
            <w:tcBorders>
              <w:top w:val="single" w:sz="4" w:space="0" w:color="auto"/>
              <w:left w:val="nil"/>
              <w:bottom w:val="single" w:sz="4" w:space="0" w:color="auto"/>
              <w:right w:val="single" w:sz="4" w:space="0" w:color="auto"/>
            </w:tcBorders>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Одиниці виміру</w:t>
            </w:r>
          </w:p>
        </w:tc>
        <w:tc>
          <w:tcPr>
            <w:tcW w:w="2590" w:type="dxa"/>
            <w:tcBorders>
              <w:top w:val="single" w:sz="4" w:space="0" w:color="auto"/>
              <w:left w:val="nil"/>
              <w:bottom w:val="single" w:sz="4" w:space="0" w:color="auto"/>
              <w:right w:val="single" w:sz="4" w:space="0" w:color="auto"/>
            </w:tcBorders>
            <w:vAlign w:val="center"/>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Кількість</w:t>
            </w:r>
          </w:p>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Грам білку/або банок</w:t>
            </w:r>
          </w:p>
        </w:tc>
      </w:tr>
      <w:tr w:rsidR="00A5696B" w:rsidRPr="00A5696B" w:rsidTr="00DA1CBF">
        <w:trPr>
          <w:trHeight w:val="362"/>
        </w:trPr>
        <w:tc>
          <w:tcPr>
            <w:tcW w:w="930" w:type="dxa"/>
            <w:tcBorders>
              <w:top w:val="single" w:sz="4" w:space="0" w:color="auto"/>
              <w:left w:val="single" w:sz="4" w:space="0" w:color="auto"/>
              <w:bottom w:val="single" w:sz="4" w:space="0" w:color="auto"/>
              <w:right w:val="single" w:sz="4" w:space="0" w:color="auto"/>
            </w:tcBorders>
            <w:noWrap/>
            <w:vAlign w:val="bottom"/>
          </w:tcPr>
          <w:p w:rsidR="00A5696B" w:rsidRPr="00A5696B" w:rsidRDefault="00A5696B" w:rsidP="00DA1CBF">
            <w:pPr>
              <w:jc w:val="both"/>
              <w:rPr>
                <w:rFonts w:ascii="Times New Roman" w:hAnsi="Times New Roman" w:cs="Times New Roman"/>
                <w:sz w:val="24"/>
                <w:szCs w:val="24"/>
              </w:rPr>
            </w:pPr>
            <w:bookmarkStart w:id="0" w:name="_GoBack" w:colFirst="1" w:colLast="1"/>
            <w:r w:rsidRPr="00A5696B">
              <w:rPr>
                <w:rFonts w:ascii="Times New Roman" w:hAnsi="Times New Roman" w:cs="Times New Roman"/>
                <w:sz w:val="24"/>
                <w:szCs w:val="24"/>
              </w:rPr>
              <w:t>1</w:t>
            </w:r>
          </w:p>
        </w:tc>
        <w:tc>
          <w:tcPr>
            <w:tcW w:w="5424" w:type="dxa"/>
            <w:tcBorders>
              <w:top w:val="single" w:sz="4" w:space="0" w:color="auto"/>
              <w:left w:val="nil"/>
              <w:bottom w:val="single" w:sz="4" w:space="0" w:color="auto"/>
              <w:right w:val="single" w:sz="4" w:space="0" w:color="auto"/>
            </w:tcBorders>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ФКУ Нутрі 3 Концентрат  або еквівалент</w:t>
            </w:r>
          </w:p>
        </w:tc>
        <w:tc>
          <w:tcPr>
            <w:tcW w:w="1267" w:type="dxa"/>
            <w:tcBorders>
              <w:top w:val="single" w:sz="4" w:space="0" w:color="auto"/>
              <w:left w:val="nil"/>
              <w:bottom w:val="single" w:sz="4" w:space="0" w:color="auto"/>
              <w:right w:val="single" w:sz="4" w:space="0" w:color="auto"/>
            </w:tcBorders>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Од.</w:t>
            </w:r>
          </w:p>
        </w:tc>
        <w:tc>
          <w:tcPr>
            <w:tcW w:w="2590" w:type="dxa"/>
            <w:tcBorders>
              <w:top w:val="single" w:sz="4" w:space="0" w:color="auto"/>
              <w:left w:val="nil"/>
              <w:bottom w:val="single" w:sz="4" w:space="0" w:color="auto"/>
              <w:right w:val="single" w:sz="4" w:space="0" w:color="auto"/>
            </w:tcBorders>
            <w:vAlign w:val="center"/>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43750 гр/125 банки</w:t>
            </w:r>
          </w:p>
        </w:tc>
      </w:tr>
      <w:tr w:rsidR="00A5696B" w:rsidRPr="00A5696B" w:rsidTr="00DA1CBF">
        <w:trPr>
          <w:trHeight w:val="362"/>
        </w:trPr>
        <w:tc>
          <w:tcPr>
            <w:tcW w:w="930" w:type="dxa"/>
            <w:tcBorders>
              <w:top w:val="single" w:sz="4" w:space="0" w:color="auto"/>
              <w:left w:val="single" w:sz="4" w:space="0" w:color="auto"/>
              <w:bottom w:val="single" w:sz="4" w:space="0" w:color="auto"/>
              <w:right w:val="single" w:sz="4" w:space="0" w:color="auto"/>
            </w:tcBorders>
            <w:noWrap/>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2</w:t>
            </w:r>
          </w:p>
        </w:tc>
        <w:tc>
          <w:tcPr>
            <w:tcW w:w="5424" w:type="dxa"/>
            <w:tcBorders>
              <w:top w:val="single" w:sz="4" w:space="0" w:color="auto"/>
              <w:left w:val="nil"/>
              <w:bottom w:val="single" w:sz="4" w:space="0" w:color="auto"/>
              <w:right w:val="single" w:sz="4" w:space="0" w:color="auto"/>
            </w:tcBorders>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ФКУ Нутрі 3 Енерджі або еквівалент</w:t>
            </w:r>
          </w:p>
        </w:tc>
        <w:tc>
          <w:tcPr>
            <w:tcW w:w="1267" w:type="dxa"/>
            <w:tcBorders>
              <w:top w:val="single" w:sz="4" w:space="0" w:color="auto"/>
              <w:left w:val="nil"/>
              <w:bottom w:val="single" w:sz="4" w:space="0" w:color="auto"/>
              <w:right w:val="single" w:sz="4" w:space="0" w:color="auto"/>
            </w:tcBorders>
            <w:vAlign w:val="bottom"/>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Од.</w:t>
            </w:r>
          </w:p>
        </w:tc>
        <w:tc>
          <w:tcPr>
            <w:tcW w:w="2590" w:type="dxa"/>
            <w:tcBorders>
              <w:top w:val="single" w:sz="4" w:space="0" w:color="auto"/>
              <w:left w:val="nil"/>
              <w:bottom w:val="single" w:sz="4" w:space="0" w:color="auto"/>
              <w:right w:val="single" w:sz="4" w:space="0" w:color="auto"/>
            </w:tcBorders>
            <w:vAlign w:val="center"/>
          </w:tcPr>
          <w:p w:rsidR="00A5696B" w:rsidRPr="00A5696B" w:rsidRDefault="00A5696B" w:rsidP="00DA1CBF">
            <w:pPr>
              <w:jc w:val="both"/>
              <w:rPr>
                <w:rFonts w:ascii="Times New Roman" w:hAnsi="Times New Roman" w:cs="Times New Roman"/>
                <w:sz w:val="24"/>
                <w:szCs w:val="24"/>
              </w:rPr>
            </w:pPr>
            <w:r w:rsidRPr="00A5696B">
              <w:rPr>
                <w:rFonts w:ascii="Times New Roman" w:hAnsi="Times New Roman" w:cs="Times New Roman"/>
                <w:sz w:val="24"/>
                <w:szCs w:val="24"/>
              </w:rPr>
              <w:t>7714,56гр /48 банки</w:t>
            </w:r>
          </w:p>
        </w:tc>
      </w:tr>
    </w:tbl>
    <w:bookmarkEnd w:id="0"/>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Запропонований учасником  товар за медико-технічними властивостями повинен відповідати наступним медико-технічним вимогам:</w:t>
      </w:r>
    </w:p>
    <w:p w:rsidR="00A5696B" w:rsidRPr="00A5696B" w:rsidRDefault="00A5696B" w:rsidP="00A5696B">
      <w:pPr>
        <w:jc w:val="center"/>
        <w:rPr>
          <w:rFonts w:ascii="Times New Roman" w:hAnsi="Times New Roman" w:cs="Times New Roman"/>
          <w:b/>
          <w:sz w:val="24"/>
          <w:szCs w:val="24"/>
        </w:rPr>
      </w:pPr>
    </w:p>
    <w:p w:rsidR="00A5696B" w:rsidRPr="00A5696B" w:rsidRDefault="00A5696B" w:rsidP="00A5696B">
      <w:pPr>
        <w:jc w:val="center"/>
        <w:rPr>
          <w:rFonts w:ascii="Times New Roman" w:hAnsi="Times New Roman" w:cs="Times New Roman"/>
          <w:b/>
          <w:sz w:val="24"/>
          <w:szCs w:val="24"/>
        </w:rPr>
      </w:pPr>
      <w:r w:rsidRPr="00A5696B">
        <w:rPr>
          <w:rFonts w:ascii="Times New Roman" w:hAnsi="Times New Roman" w:cs="Times New Roman"/>
          <w:b/>
          <w:sz w:val="24"/>
          <w:szCs w:val="24"/>
        </w:rPr>
        <w:t>ФКУ Нутрі 3 Концентрат або еквівалент:</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ab/>
        <w:t xml:space="preserve">Орієнтовні критерії підбору спеціальних продуктів лікувального харчування для дорослих та дітей, хворих на фенілкетонурію від 8 років,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w:t>
      </w:r>
      <w:r w:rsidRPr="00A5696B">
        <w:rPr>
          <w:rFonts w:ascii="Times New Roman" w:hAnsi="Times New Roman" w:cs="Times New Roman"/>
          <w:sz w:val="24"/>
          <w:szCs w:val="24"/>
        </w:rPr>
        <w:lastRenderedPageBreak/>
        <w:t>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Вміст білка (в еквіваленті) у 100 грамах сухого продукту не більше 75 грам.</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Призначений для дітей від 8 років та дорослих</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Набір амінокислот (кількість) в суміші - найвищий</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суми незамінних та напівзамінних амінокислот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Вуглеводний комплекс забезпечено за рахунок моносахаридів та полісахаридів при мінімальному вмісті сахарози</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Присутність фенілаланіну допускається – згідно нормативів</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суми амінокислот, які вміщують сірку (метіонін та цистеїн),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тирозину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Наявність в суміші необхідних мінеральних речовин, мікроелементів і вітамінів у збалансованій кількості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Продукт повинен бути вироблений з дотриманням умов належного виробництва та бути безпечним для використання.</w:t>
      </w: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*Згідно Ст. 1 Закону України «Про охорону дитинства» дитина - особа віком до 18 років (повноліття), якщо згідно з законом, застосовуваним до неї, вона не набуває прав повнолітньої раніше.</w:t>
      </w:r>
    </w:p>
    <w:p w:rsidR="00A5696B" w:rsidRPr="00A5696B" w:rsidRDefault="00A5696B" w:rsidP="00A5696B">
      <w:pPr>
        <w:jc w:val="center"/>
        <w:rPr>
          <w:rFonts w:ascii="Times New Roman" w:hAnsi="Times New Roman" w:cs="Times New Roman"/>
          <w:sz w:val="24"/>
          <w:szCs w:val="24"/>
        </w:rPr>
      </w:pPr>
    </w:p>
    <w:p w:rsidR="00A5696B" w:rsidRPr="00A5696B" w:rsidRDefault="00A5696B" w:rsidP="00A5696B">
      <w:pPr>
        <w:jc w:val="center"/>
        <w:rPr>
          <w:rFonts w:ascii="Times New Roman" w:hAnsi="Times New Roman" w:cs="Times New Roman"/>
          <w:b/>
          <w:sz w:val="24"/>
          <w:szCs w:val="24"/>
        </w:rPr>
      </w:pPr>
      <w:r w:rsidRPr="00A5696B">
        <w:rPr>
          <w:rFonts w:ascii="Times New Roman" w:hAnsi="Times New Roman" w:cs="Times New Roman"/>
          <w:b/>
          <w:sz w:val="24"/>
          <w:szCs w:val="24"/>
        </w:rPr>
        <w:t>ФКУ Нутрі 3 Енерджі або еквівалент:</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Концентрована суміш, адаптована до вікової категорії хворих,  в значній мірі задовольняє потребу організму в білку без фенілаланіну. Не призводить до збільшення обсягу їжі, має низьку калорійність.</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ab/>
        <w:t>Орієнтовні критерії підбору спеціальних продуктів лікувального харчування для дорослих та дітей, хворих на фенілкетонурію від 9 років, що розроблені на основі Наказу Міністерства охорони України №829 від 25 вересня 2013 року «Про затвердження методичних рекомендацій планування та розрахунку кількості лікарських засобів, виробів медичного призначення, що закуповуються за рахунок коштів державного та місцевого бюджетів для забезпечення визначених груп населення, на основі відповідних реєстрів»:</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Вміст білка (в еквіваленті) у 100 грамах сухого продукту не більше 45 грам.</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Призначений для дітей від 9 років та дорослих та вагітних</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lastRenderedPageBreak/>
        <w:t>Набір амінокислот (кількість) в суміші - найвищий</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суми незамінних та напівзамінних амінокислот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Вуглеводний комплекс забезпечено за рахунок моносахаридів та полісахаридів при мінімальному вмісті сахарози</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Присутність фенілаланіну допускається – згідно нормативів</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суми амінокислот, які вміщують сірку (метіонін та цистеїн),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Вміст тирозину (г) в </w:t>
      </w:r>
      <w:smartTag w:uri="urn:schemas-microsoft-com:office:smarttags" w:element="metricconverter">
        <w:smartTagPr>
          <w:attr w:name="ProductID" w:val="100 г"/>
        </w:smartTagPr>
        <w:r w:rsidRPr="00A5696B">
          <w:rPr>
            <w:rFonts w:ascii="Times New Roman" w:hAnsi="Times New Roman" w:cs="Times New Roman"/>
            <w:sz w:val="24"/>
            <w:szCs w:val="24"/>
          </w:rPr>
          <w:t>100 г</w:t>
        </w:r>
      </w:smartTag>
      <w:r w:rsidRPr="00A5696B">
        <w:rPr>
          <w:rFonts w:ascii="Times New Roman" w:hAnsi="Times New Roman" w:cs="Times New Roman"/>
          <w:sz w:val="24"/>
          <w:szCs w:val="24"/>
        </w:rPr>
        <w:t xml:space="preserve"> білка – оптимальний, що адаптований до вікової категорії хворого</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Наявність в суміші необхідних мінеральних речовин, мікроелементів і вітамінів у збалансованій кількості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Продукт повинен бути вироблений з дотриманням умов належного виробництва та бути безпечним для використання.</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Для підтвердження учасник надає гарантійний лист про відповідність вищезазначених вимог.</w:t>
      </w:r>
    </w:p>
    <w:p w:rsidR="00A5696B" w:rsidRPr="00A5696B" w:rsidRDefault="00A5696B" w:rsidP="00A5696B">
      <w:pPr>
        <w:jc w:val="both"/>
        <w:rPr>
          <w:rFonts w:ascii="Times New Roman" w:hAnsi="Times New Roman" w:cs="Times New Roman"/>
          <w:b/>
          <w:sz w:val="24"/>
          <w:szCs w:val="24"/>
        </w:rPr>
      </w:pPr>
    </w:p>
    <w:p w:rsidR="00A5696B" w:rsidRPr="00A5696B" w:rsidRDefault="00A5696B" w:rsidP="00A5696B">
      <w:pPr>
        <w:jc w:val="both"/>
        <w:rPr>
          <w:rFonts w:ascii="Times New Roman" w:hAnsi="Times New Roman" w:cs="Times New Roman"/>
          <w:b/>
          <w:sz w:val="24"/>
          <w:szCs w:val="24"/>
        </w:rPr>
      </w:pPr>
      <w:r w:rsidRPr="00A5696B">
        <w:rPr>
          <w:rFonts w:ascii="Times New Roman" w:hAnsi="Times New Roman" w:cs="Times New Roman"/>
          <w:b/>
          <w:sz w:val="24"/>
          <w:szCs w:val="24"/>
        </w:rPr>
        <w:t>Загальні вимоги :</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Товар, що є предметом закупівлі, повинен бути зареєстрований відповідно до вимог чинного законодавства. (Надати копії свідоцтв про державну реєстрацію та / або сертифікату чи декларації відповідності).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Термін придатності предмету закупівлі на момент поставки має становити не менше 12 місяців від задекларованого виробником терміну з моменту поставки. Для підтвердження учасник надає гарантійний лист про термін придатності.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Строк поставки предмету закупівлі повинен становити не більше 5 днів з моменту отримання письмової заявки. Для підтвердження учасник надає гарантійний лист про строк поставки предмету закупівлі.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Предмет закупівлі повинен мати інструкцію з застосування. Для підтвердження учасником надається копія інструкції про застосування предмета закупівлі.</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Текст маркування (етикетування) затверджений належним чином.</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Сертифікат аналізу Виробника щодо серійного контролю. </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Таблицю відповідності  запропонованого товару медико- технічним вимогам вказаним у цьому додатку. У разі, якщо Учасник пропонує до закупівлі - еквівалент, він повинен надати заключення  про еквівалентність, яка видана державною установою, яка акредитована на проведення робіт із гігієнічної регламентації.</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Міжнародний сертифікат якості Виробника щодо підтвердження якості виробництва стандартам належної практики.</w:t>
      </w: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lastRenderedPageBreak/>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 xml:space="preserve"> 3. Очікувана вартість предмета закупівлі </w:t>
      </w:r>
      <w:r w:rsidRPr="00A5696B">
        <w:rPr>
          <w:rFonts w:ascii="Times New Roman" w:hAnsi="Times New Roman" w:cs="Times New Roman"/>
          <w:sz w:val="24"/>
          <w:szCs w:val="24"/>
        </w:rPr>
        <w:t xml:space="preserve">- 431 881,00 грн з ПДВ. </w:t>
      </w: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p>
    <w:p w:rsidR="00A5696B" w:rsidRPr="00A5696B" w:rsidRDefault="00A5696B" w:rsidP="00A5696B">
      <w:pPr>
        <w:jc w:val="both"/>
        <w:rPr>
          <w:rFonts w:ascii="Times New Roman" w:hAnsi="Times New Roman" w:cs="Times New Roman"/>
          <w:sz w:val="24"/>
          <w:szCs w:val="24"/>
        </w:rPr>
      </w:pPr>
    </w:p>
    <w:sectPr w:rsidR="00A5696B" w:rsidRPr="00A569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A5696B"/>
    <w:rsid w:val="009971DB"/>
    <w:rsid w:val="00A5696B"/>
    <w:rsid w:val="00F12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696B"/>
    <w:rPr>
      <w:b/>
      <w:bCs/>
    </w:rPr>
  </w:style>
  <w:style w:type="paragraph" w:styleId="a4">
    <w:name w:val="Normal (Web)"/>
    <w:basedOn w:val="a"/>
    <w:uiPriority w:val="99"/>
    <w:semiHidden/>
    <w:unhideWhenUsed/>
    <w:rsid w:val="009971D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9971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Asus</cp:lastModifiedBy>
  <cp:revision>4</cp:revision>
  <dcterms:created xsi:type="dcterms:W3CDTF">2021-01-04T21:04:00Z</dcterms:created>
  <dcterms:modified xsi:type="dcterms:W3CDTF">2021-01-04T22:24:00Z</dcterms:modified>
</cp:coreProperties>
</file>